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743C" w14:textId="202071A4" w:rsidR="00F410E0" w:rsidRDefault="005544CC">
      <w:pPr>
        <w:spacing w:after="20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Sarabun" w:eastAsia="Sarabun" w:hAnsi="Sarabun" w:cs="Sarabun"/>
          <w:b/>
          <w:noProof/>
          <w:color w:val="FF0000"/>
          <w:sz w:val="36"/>
          <w:highlight w:val="yellow"/>
        </w:rPr>
        <w:drawing>
          <wp:inline distT="0" distB="0" distL="0" distR="0" wp14:anchorId="7DD8EBDD" wp14:editId="6BDD33FD">
            <wp:extent cx="1797050" cy="17970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E708" w14:textId="77777777" w:rsidR="00F410E0" w:rsidRDefault="00F410E0">
      <w:pPr>
        <w:spacing w:after="20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14:paraId="01575607" w14:textId="77777777" w:rsidR="00F410E0" w:rsidRDefault="002A3A18">
      <w:pPr>
        <w:spacing w:after="20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rFonts w:ascii="TH SarabunPSK" w:eastAsia="TH SarabunPSK" w:hAnsi="TH SarabunPSK" w:cs="TH SarabunPSK"/>
          <w:b/>
          <w:sz w:val="40"/>
          <w:szCs w:val="40"/>
        </w:rPr>
        <w:t xml:space="preserve">รายงานผลการดำเนินการ </w:t>
      </w:r>
      <w:r>
        <w:rPr>
          <w:rFonts w:ascii="TH SarabunPSK" w:eastAsia="TH SarabunPSK" w:hAnsi="TH SarabunPSK" w:cs="TH SarabunPSK"/>
          <w:b/>
          <w:sz w:val="40"/>
          <w:szCs w:val="40"/>
        </w:rPr>
        <w:br/>
        <w:t xml:space="preserve">เพื่อส่งเสริมคุณธรรมและความโปร่งใสภายในหน่วยงาน </w:t>
      </w:r>
      <w:r>
        <w:rPr>
          <w:rFonts w:ascii="TH SarabunPSK" w:eastAsia="TH SarabunPSK" w:hAnsi="TH SarabunPSK" w:cs="TH SarabunPSK"/>
          <w:b/>
          <w:sz w:val="40"/>
          <w:szCs w:val="40"/>
        </w:rPr>
        <w:br/>
        <w:t>ประจำปีงบประมาณ พ.ศ. 2567</w:t>
      </w:r>
    </w:p>
    <w:p w14:paraId="5F95B51B" w14:textId="74E463D1" w:rsidR="00F410E0" w:rsidRDefault="00F410E0" w:rsidP="005544CC">
      <w:pPr>
        <w:spacing w:after="200" w:line="240" w:lineRule="auto"/>
        <w:rPr>
          <w:rFonts w:ascii="TH SarabunPSK" w:eastAsia="TH SarabunPSK" w:hAnsi="TH SarabunPSK" w:cs="TH SarabunPSK"/>
          <w:b/>
          <w:sz w:val="40"/>
          <w:szCs w:val="40"/>
          <w:lang w:bidi="th"/>
        </w:rPr>
      </w:pPr>
    </w:p>
    <w:p w14:paraId="78D638DE" w14:textId="4D5084E0" w:rsidR="00B2305D" w:rsidRDefault="00B2305D" w:rsidP="005544CC">
      <w:pPr>
        <w:spacing w:after="200" w:line="240" w:lineRule="auto"/>
        <w:rPr>
          <w:rFonts w:ascii="TH SarabunPSK" w:eastAsia="TH SarabunPSK" w:hAnsi="TH SarabunPSK" w:cs="TH SarabunPSK"/>
          <w:b/>
          <w:sz w:val="40"/>
          <w:szCs w:val="40"/>
          <w:lang w:bidi="th"/>
        </w:rPr>
      </w:pPr>
    </w:p>
    <w:p w14:paraId="25065254" w14:textId="77777777" w:rsidR="00B2305D" w:rsidRDefault="00B2305D" w:rsidP="005544CC">
      <w:pPr>
        <w:spacing w:after="200" w:line="240" w:lineRule="auto"/>
        <w:rPr>
          <w:rFonts w:ascii="TH SarabunPSK" w:eastAsia="TH SarabunPSK" w:hAnsi="TH SarabunPSK" w:cs="TH SarabunPSK" w:hint="cs"/>
          <w:b/>
          <w:sz w:val="40"/>
          <w:szCs w:val="40"/>
          <w:lang w:bidi="th"/>
        </w:rPr>
      </w:pPr>
    </w:p>
    <w:p w14:paraId="0FC5F56D" w14:textId="77777777" w:rsidR="00B2305D" w:rsidRP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  <w:r w:rsidRPr="00B2305D">
        <w:rPr>
          <w:rFonts w:ascii="TH SarabunIT๙" w:eastAsia="TH Sarabun PSK" w:hAnsi="TH SarabunIT๙" w:cs="TH SarabunIT๙"/>
          <w:bCs/>
          <w:sz w:val="40"/>
          <w:szCs w:val="40"/>
          <w:cs/>
          <w:lang w:val="en-US"/>
        </w:rPr>
        <w:t>เทศบาลตำบลเมืองศรีไค</w:t>
      </w:r>
      <w:r w:rsidRPr="00B2305D">
        <w:rPr>
          <w:rFonts w:ascii="TH SarabunIT๙" w:eastAsia="TH Sarabun PSK" w:hAnsi="TH SarabunIT๙" w:cs="TH SarabunIT๙"/>
          <w:bCs/>
          <w:sz w:val="40"/>
          <w:szCs w:val="40"/>
          <w:lang w:val="en-US"/>
        </w:rPr>
        <w:t xml:space="preserve"> </w:t>
      </w:r>
    </w:p>
    <w:p w14:paraId="61A35C5E" w14:textId="13EC1598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  <w:r w:rsidRPr="00B2305D">
        <w:rPr>
          <w:rFonts w:ascii="TH SarabunIT๙" w:eastAsia="TH Sarabun PSK" w:hAnsi="TH SarabunIT๙" w:cs="TH SarabunIT๙"/>
          <w:bCs/>
          <w:sz w:val="40"/>
          <w:szCs w:val="40"/>
          <w:cs/>
          <w:lang w:val="en-US"/>
        </w:rPr>
        <w:t>อำเภอวารินชำราบ จังหวัดอุบลราชธานี</w:t>
      </w:r>
    </w:p>
    <w:p w14:paraId="63052B34" w14:textId="58575290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</w:p>
    <w:p w14:paraId="29075500" w14:textId="1954B00D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</w:p>
    <w:p w14:paraId="60F2AE66" w14:textId="59196A6D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</w:p>
    <w:p w14:paraId="3F14BC9A" w14:textId="19943418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</w:p>
    <w:p w14:paraId="659F2F85" w14:textId="26EEE100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</w:p>
    <w:p w14:paraId="353A951E" w14:textId="23776AC1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</w:p>
    <w:p w14:paraId="37473333" w14:textId="4183F123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</w:p>
    <w:p w14:paraId="7DC69BBC" w14:textId="77777777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 w:hint="cs"/>
          <w:bCs/>
          <w:sz w:val="40"/>
          <w:szCs w:val="40"/>
          <w:lang w:val="en-US"/>
        </w:rPr>
      </w:pPr>
    </w:p>
    <w:p w14:paraId="47884139" w14:textId="77777777" w:rsidR="00B2305D" w:rsidRDefault="002A3A18" w:rsidP="00B2305D">
      <w:pPr>
        <w:tabs>
          <w:tab w:val="left" w:pos="7560"/>
        </w:tabs>
        <w:spacing w:after="160" w:line="259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รายงานผลการดำเนินการเพื่อส่งเสริมคุณธรรมและความโปร่งใสในหน่วยงาน </w:t>
      </w:r>
      <w:r>
        <w:rPr>
          <w:rFonts w:ascii="TH SarabunPSK" w:eastAsia="TH SarabunPSK" w:hAnsi="TH SarabunPSK" w:cs="TH SarabunPSK"/>
          <w:b/>
          <w:sz w:val="32"/>
          <w:szCs w:val="32"/>
        </w:rPr>
        <w:br/>
        <w:t xml:space="preserve">ประจำปีงบประมาณ พ.ศ. 2567 </w:t>
      </w:r>
    </w:p>
    <w:p w14:paraId="3AA2A82D" w14:textId="47517B33" w:rsidR="00B2305D" w:rsidRP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 w:hint="cs"/>
          <w:bCs/>
          <w:sz w:val="32"/>
          <w:szCs w:val="32"/>
          <w:lang w:val="en-US"/>
        </w:rPr>
      </w:pPr>
      <w:r w:rsidRPr="00B2305D">
        <w:rPr>
          <w:rFonts w:ascii="TH SarabunIT๙" w:eastAsia="TH Sarabun PSK" w:hAnsi="TH SarabunIT๙" w:cs="TH SarabunIT๙"/>
          <w:bCs/>
          <w:sz w:val="32"/>
          <w:szCs w:val="32"/>
          <w:cs/>
          <w:lang w:val="en-US"/>
        </w:rPr>
        <w:t>เทศบาลตำบลเมืองศรีไค</w:t>
      </w:r>
      <w:r w:rsidRPr="00B2305D">
        <w:rPr>
          <w:rFonts w:ascii="TH SarabunIT๙" w:eastAsia="TH Sarabun PSK" w:hAnsi="TH SarabunIT๙" w:cs="TH SarabunIT๙"/>
          <w:bCs/>
          <w:sz w:val="32"/>
          <w:szCs w:val="32"/>
          <w:lang w:val="en-US"/>
        </w:rPr>
        <w:t xml:space="preserve"> </w:t>
      </w:r>
      <w:r w:rsidRPr="00B2305D">
        <w:rPr>
          <w:rFonts w:ascii="TH SarabunIT๙" w:eastAsia="TH Sarabun PSK" w:hAnsi="TH SarabunIT๙" w:cs="TH SarabunIT๙"/>
          <w:bCs/>
          <w:sz w:val="32"/>
          <w:szCs w:val="32"/>
          <w:cs/>
          <w:lang w:val="en-US"/>
        </w:rPr>
        <w:t>อำเภอวารินชำราบ จังหวัดอุบลราชธานี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1543"/>
        <w:gridCol w:w="1741"/>
        <w:gridCol w:w="1208"/>
        <w:gridCol w:w="1342"/>
        <w:gridCol w:w="1816"/>
        <w:gridCol w:w="1984"/>
      </w:tblGrid>
      <w:tr w:rsidR="00B2305D" w14:paraId="775538FD" w14:textId="77777777" w:rsidTr="003F0522">
        <w:trPr>
          <w:jc w:val="center"/>
        </w:trPr>
        <w:tc>
          <w:tcPr>
            <w:tcW w:w="1543" w:type="dxa"/>
          </w:tcPr>
          <w:p w14:paraId="6BB64848" w14:textId="77777777" w:rsidR="00B2305D" w:rsidRDefault="00B2305D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มาตรการ</w:t>
            </w:r>
          </w:p>
        </w:tc>
        <w:tc>
          <w:tcPr>
            <w:tcW w:w="1741" w:type="dxa"/>
          </w:tcPr>
          <w:p w14:paraId="4AFFEB17" w14:textId="77777777" w:rsidR="00B2305D" w:rsidRDefault="00B2305D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08" w:type="dxa"/>
          </w:tcPr>
          <w:p w14:paraId="56EAB1C9" w14:textId="77777777" w:rsidR="00B2305D" w:rsidRDefault="00B2305D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342" w:type="dxa"/>
          </w:tcPr>
          <w:p w14:paraId="04B36376" w14:textId="77777777" w:rsidR="00B2305D" w:rsidRDefault="00B2305D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816" w:type="dxa"/>
          </w:tcPr>
          <w:p w14:paraId="70FB4782" w14:textId="77777777" w:rsidR="00B2305D" w:rsidRDefault="00B2305D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</w:tcPr>
          <w:p w14:paraId="72F3356B" w14:textId="77777777" w:rsidR="00B2305D" w:rsidRDefault="00B2305D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ข้อเสนอแนะ</w:t>
            </w:r>
          </w:p>
        </w:tc>
      </w:tr>
      <w:tr w:rsidR="00B2305D" w:rsidRPr="008E68D0" w14:paraId="11807206" w14:textId="77777777" w:rsidTr="003F0522">
        <w:trPr>
          <w:jc w:val="center"/>
        </w:trPr>
        <w:tc>
          <w:tcPr>
            <w:tcW w:w="1543" w:type="dxa"/>
          </w:tcPr>
          <w:p w14:paraId="1B782A23" w14:textId="77777777" w:rsidR="00B2305D" w:rsidRPr="008E68D0" w:rsidRDefault="00B2305D" w:rsidP="003F0522">
            <w:pPr>
              <w:rPr>
                <w:rFonts w:ascii="TH SarabunIT๙" w:hAnsi="TH SarabunIT๙" w:cs="TH SarabunIT๙"/>
                <w:cs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1.จัดมาตรการปรับปรุงการประเมินผลการปฏิบัติงานของพนักงานให้เป็นไปตามลำดับคุณภาพของผลงานอย่างถูกต้อง</w:t>
            </w:r>
          </w:p>
        </w:tc>
        <w:tc>
          <w:tcPr>
            <w:tcW w:w="1741" w:type="dxa"/>
          </w:tcPr>
          <w:p w14:paraId="6BF54DAA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1.แต่งตั้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 w:rsidRPr="008E68D0">
              <w:rPr>
                <w:rFonts w:ascii="TH SarabunIT๙" w:hAnsi="TH SarabunIT๙" w:cs="TH SarabunIT๙" w:hint="cs"/>
                <w:cs/>
              </w:rPr>
              <w:t>คณะกรรมการประเมินผลการปฏิบัติงานของพนักงาน</w:t>
            </w:r>
          </w:p>
          <w:p w14:paraId="3CB16181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2.ประชุมเพื่อกำหนดมาตรการการประเมิน</w:t>
            </w:r>
          </w:p>
          <w:p w14:paraId="7BF65752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3.แจ้งทุกส่วนราชการรับทราบเพื่อรวบรวมผลงานในการประเมิน</w:t>
            </w:r>
          </w:p>
        </w:tc>
        <w:tc>
          <w:tcPr>
            <w:tcW w:w="1208" w:type="dxa"/>
          </w:tcPr>
          <w:p w14:paraId="3480CD3D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342" w:type="dxa"/>
          </w:tcPr>
          <w:p w14:paraId="4C4E7F17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ตลอดปีงบประมาณ</w:t>
            </w:r>
          </w:p>
        </w:tc>
        <w:tc>
          <w:tcPr>
            <w:tcW w:w="1816" w:type="dxa"/>
          </w:tcPr>
          <w:p w14:paraId="7A6E7EB4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1.ผู้รับผิดชอบแจ้งพนักงาน/ส่วนงาน/กองจัดเตรียมเอกสารรายบุคคลเพื่อเสนอผลงานในการขอรับการประเมินตามภารกิจงาน</w:t>
            </w:r>
          </w:p>
          <w:p w14:paraId="7BFFA810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/>
              </w:rPr>
              <w:t>2.</w:t>
            </w:r>
            <w:r w:rsidRPr="008E68D0">
              <w:rPr>
                <w:rFonts w:ascii="TH SarabunIT๙" w:hAnsi="TH SarabunIT๙" w:cs="TH SarabunIT๙" w:hint="cs"/>
                <w:cs/>
              </w:rPr>
              <w:t>รวบรวมเอกสารให้ครบถ้วน</w:t>
            </w:r>
          </w:p>
          <w:p w14:paraId="19DF6494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3.จัดประชุมคณะกรรมการประเมินผลการปฏิบัติงานที่ได้รับแต่งตั้งเพื่อพิจารณาผลการผลการปฏิบัติงานรายบุคคลในการเลื่อนขั้นเงินเดือนอย่างโปร่งใส่</w:t>
            </w:r>
          </w:p>
          <w:p w14:paraId="2A22317F" w14:textId="77777777" w:rsidR="00B2305D" w:rsidRPr="008E68D0" w:rsidRDefault="00B2305D" w:rsidP="003F0522">
            <w:pPr>
              <w:rPr>
                <w:rFonts w:ascii="TH SarabunIT๙" w:hAnsi="TH SarabunIT๙" w:cs="TH SarabunIT๙"/>
                <w:cs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4.แจ้งผลการพิจารณาให้ที่ประชุมพนักงานประจำเดือนที่อยู่ในห้วงพิจารณารับทราบ</w:t>
            </w:r>
          </w:p>
        </w:tc>
        <w:tc>
          <w:tcPr>
            <w:tcW w:w="1984" w:type="dxa"/>
          </w:tcPr>
          <w:p w14:paraId="7CD1A3A8" w14:textId="77777777" w:rsidR="00B2305D" w:rsidRPr="008E68D0" w:rsidRDefault="00B2305D" w:rsidP="003F05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ากพนักงานมีข้อสงสัยในผลการประเมินการปฏิบัติงานที่ประชุมความมีการชี้แจงและแจ้งเวียนระดับคะแนนเพื่อความโปร่งใส่และเพื่อให้ผู้รับการประเมินได้มีการปรับปรุงแก้ไขการปฏิบัติงานในโอกาสต่อไป</w:t>
            </w:r>
          </w:p>
        </w:tc>
      </w:tr>
    </w:tbl>
    <w:p w14:paraId="52B69524" w14:textId="50202D8B" w:rsidR="00B2305D" w:rsidRDefault="00B2305D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7D800310" w14:textId="33026749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7E4139B3" w14:textId="274F9498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33045BC5" w14:textId="49415228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69F9AE35" w14:textId="2A9D13C0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670B8730" w14:textId="404E1F7E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101B0390" w14:textId="7764562B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1543"/>
        <w:gridCol w:w="1741"/>
        <w:gridCol w:w="1208"/>
        <w:gridCol w:w="1342"/>
        <w:gridCol w:w="1816"/>
        <w:gridCol w:w="1984"/>
      </w:tblGrid>
      <w:tr w:rsidR="00531084" w:rsidRPr="00531084" w14:paraId="4506B3A6" w14:textId="77777777" w:rsidTr="003F0522">
        <w:trPr>
          <w:jc w:val="center"/>
        </w:trPr>
        <w:tc>
          <w:tcPr>
            <w:tcW w:w="1543" w:type="dxa"/>
          </w:tcPr>
          <w:p w14:paraId="1DAEA212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1741" w:type="dxa"/>
          </w:tcPr>
          <w:p w14:paraId="4F8C4FF9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08" w:type="dxa"/>
          </w:tcPr>
          <w:p w14:paraId="54E4EF94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342" w:type="dxa"/>
          </w:tcPr>
          <w:p w14:paraId="6DC7DEB9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816" w:type="dxa"/>
          </w:tcPr>
          <w:p w14:paraId="27B856DF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</w:tcPr>
          <w:p w14:paraId="65E95FA2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ข้อเสนอแนะ</w:t>
            </w:r>
          </w:p>
        </w:tc>
      </w:tr>
      <w:tr w:rsidR="00531084" w:rsidRPr="00531084" w14:paraId="28C77783" w14:textId="77777777" w:rsidTr="003F0522">
        <w:trPr>
          <w:jc w:val="center"/>
        </w:trPr>
        <w:tc>
          <w:tcPr>
            <w:tcW w:w="1543" w:type="dxa"/>
          </w:tcPr>
          <w:p w14:paraId="2D26D36D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2.จัดทำมาตรการรักษาระดับการให้ให้บริหาร ประชาชนอย่างมีประสิทธิภาพ</w:t>
            </w:r>
          </w:p>
        </w:tc>
        <w:tc>
          <w:tcPr>
            <w:tcW w:w="1741" w:type="dxa"/>
          </w:tcPr>
          <w:p w14:paraId="4589DA8F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1.ประชุมกอง/ส่วนงานราชการ</w:t>
            </w:r>
          </w:p>
          <w:p w14:paraId="5492713F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2.จัดทำมาตรฐานการปฏิบัติงานของเจ้าหน้าที่ตามภารกิจงาน</w:t>
            </w:r>
          </w:p>
          <w:p w14:paraId="110F5ACD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3.สำรวจความพึงพอใจการให้บริการ</w:t>
            </w:r>
          </w:p>
        </w:tc>
        <w:tc>
          <w:tcPr>
            <w:tcW w:w="1208" w:type="dxa"/>
          </w:tcPr>
          <w:p w14:paraId="151B26F1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  <w:tc>
          <w:tcPr>
            <w:tcW w:w="1342" w:type="dxa"/>
          </w:tcPr>
          <w:p w14:paraId="4DB1B56E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ตลอดปีงบประมาณ</w:t>
            </w:r>
          </w:p>
        </w:tc>
        <w:tc>
          <w:tcPr>
            <w:tcW w:w="1816" w:type="dxa"/>
          </w:tcPr>
          <w:p w14:paraId="358A1A8C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1.มีการจัดประชุมทุกกอง/ส่วนงานราชการ</w:t>
            </w:r>
          </w:p>
          <w:p w14:paraId="0E2941AE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2.จัดทำมาตรฐานการปฏิบัติงานของเจ้าหน้าที่ตามภารกิจงาน</w:t>
            </w:r>
          </w:p>
          <w:p w14:paraId="5FC97B5D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3.วิเคราะห์แบบสำรวจความพึงพอใจของประชาชนต่อการให้บริการ และรายงานผลให้ทุกส่วน/กอง/งานรับทราบพร้อมแก้ไขข้อบกพร่องในการให้บริการ</w:t>
            </w:r>
          </w:p>
        </w:tc>
        <w:tc>
          <w:tcPr>
            <w:tcW w:w="1984" w:type="dxa"/>
          </w:tcPr>
          <w:p w14:paraId="4F8E7FBE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ควรมีการสำรวจความพึงพอใจต่อการดำเนินงานในแต่ละโครงการ/กิจกรรมที่ ทต.ได้จัดทำขึ้นหลังการดำเนินงานว่าได้รับคำแนะนำอย่างไรเพื่อให้เกิดประสิทธิภาพในการปฏิบัติงานมากยิ่งขึ้น</w:t>
            </w:r>
          </w:p>
        </w:tc>
      </w:tr>
      <w:tr w:rsidR="00531084" w:rsidRPr="00531084" w14:paraId="45A0AC0C" w14:textId="77777777" w:rsidTr="003F0522">
        <w:trPr>
          <w:jc w:val="center"/>
        </w:trPr>
        <w:tc>
          <w:tcPr>
            <w:tcW w:w="1543" w:type="dxa"/>
          </w:tcPr>
          <w:p w14:paraId="0740AE1E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3.จัดทำมาตรการวิเคราะห์ความเสี่ยงการทุจริต</w:t>
            </w:r>
          </w:p>
        </w:tc>
        <w:tc>
          <w:tcPr>
            <w:tcW w:w="1741" w:type="dxa"/>
          </w:tcPr>
          <w:p w14:paraId="576459FD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1.แต่งตั้งคณะทำงานเพื่อจัดทำมาตรการ</w:t>
            </w:r>
          </w:p>
          <w:p w14:paraId="3FDD1561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2.ประชุมคณะทำงาน</w:t>
            </w:r>
          </w:p>
          <w:p w14:paraId="1F89F53E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3.มอบหมายให้กอง/ส่วน/งานราชการ รับผิดชอบในการดำเนินการตามภารกิจงาน</w:t>
            </w:r>
          </w:p>
        </w:tc>
        <w:tc>
          <w:tcPr>
            <w:tcW w:w="1208" w:type="dxa"/>
          </w:tcPr>
          <w:p w14:paraId="0A921E8C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  <w:tc>
          <w:tcPr>
            <w:tcW w:w="1342" w:type="dxa"/>
          </w:tcPr>
          <w:p w14:paraId="22AA9E3A" w14:textId="0702A9EF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ม.ค-มี.ค.6</w:t>
            </w:r>
            <w:r>
              <w:rPr>
                <w:rFonts w:ascii="TH SarabunIT๙" w:eastAsia="Calibri" w:hAnsi="TH SarabunIT๙" w:cs="TH SarabunIT๙" w:hint="cs"/>
                <w:cs/>
              </w:rPr>
              <w:t>7</w:t>
            </w:r>
          </w:p>
        </w:tc>
        <w:tc>
          <w:tcPr>
            <w:tcW w:w="1816" w:type="dxa"/>
          </w:tcPr>
          <w:p w14:paraId="0684E7D9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คณะทำงานรวบรวมเอกสารต่างๆที่ได้จากการประเมินความเสี่ยงของกอง/ฝ่าย/งาน และได้วิเคราะห์ผลความเสี่ยง พร้อมเปิดเผยข้อมูล</w:t>
            </w:r>
          </w:p>
        </w:tc>
        <w:tc>
          <w:tcPr>
            <w:tcW w:w="1984" w:type="dxa"/>
          </w:tcPr>
          <w:p w14:paraId="33BF1BF7" w14:textId="77777777" w:rsidR="00531084" w:rsidRPr="00531084" w:rsidRDefault="00531084" w:rsidP="005310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ควรมีการจัดการองค์ความรู้แก่พนักงานเกี่ยวกับเรื่องการประเมินความเสี่ยงการทุจริตให้พนักงานได้มีความรู้และตระหนักถึงผลกระทบให้มากยิ่งขึ้น</w:t>
            </w:r>
          </w:p>
        </w:tc>
      </w:tr>
    </w:tbl>
    <w:p w14:paraId="5F4AABED" w14:textId="4EB28A20" w:rsidR="00531084" w:rsidRPr="00531084" w:rsidRDefault="00531084" w:rsidP="00B2305D">
      <w:pPr>
        <w:spacing w:after="200" w:line="240" w:lineRule="auto"/>
        <w:rPr>
          <w:rFonts w:ascii="TH SarabunPSK" w:eastAsia="TH SarabunPSK" w:hAnsi="TH SarabunPSK" w:cs="TH SarabunPSK" w:hint="cs"/>
          <w:b/>
          <w:color w:val="FF0000"/>
          <w:sz w:val="32"/>
          <w:szCs w:val="32"/>
          <w:u w:val="single"/>
          <w:lang w:val="en-US"/>
        </w:rPr>
      </w:pPr>
    </w:p>
    <w:p w14:paraId="3269BE19" w14:textId="77777777" w:rsidR="00531084" w:rsidRDefault="00531084" w:rsidP="00B2305D">
      <w:pPr>
        <w:spacing w:after="200" w:line="240" w:lineRule="auto"/>
        <w:rPr>
          <w:rFonts w:ascii="TH SarabunPSK" w:eastAsia="TH SarabunPSK" w:hAnsi="TH SarabunPSK" w:cs="TH SarabunPSK" w:hint="cs"/>
          <w:b/>
          <w:color w:val="FF0000"/>
          <w:sz w:val="32"/>
          <w:szCs w:val="32"/>
          <w:u w:val="single"/>
          <w:lang w:bidi="th"/>
        </w:rPr>
      </w:pPr>
    </w:p>
    <w:sectPr w:rsidR="00531084" w:rsidSect="00B2305D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0"/>
    <w:rsid w:val="002A3A18"/>
    <w:rsid w:val="00531084"/>
    <w:rsid w:val="005544CC"/>
    <w:rsid w:val="00B2305D"/>
    <w:rsid w:val="00F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BF71"/>
  <w15:docId w15:val="{40111319-C576-4E4D-858C-A3590A78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B2305D"/>
    <w:pPr>
      <w:spacing w:line="240" w:lineRule="auto"/>
    </w:pPr>
    <w:rPr>
      <w:rFonts w:asciiTheme="minorHAnsi" w:eastAsiaTheme="minorHAnsi" w:hAnsiTheme="minorHAnsi" w:cstheme="minorBidi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2025-01-28T05:09:00Z</dcterms:created>
  <dcterms:modified xsi:type="dcterms:W3CDTF">2025-01-28T08:03:00Z</dcterms:modified>
</cp:coreProperties>
</file>